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B4" w:rsidRDefault="00501DB4" w:rsidP="00501DB4">
      <w:pPr>
        <w:jc w:val="center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0A901A" wp14:editId="094712E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38625" cy="1781175"/>
            <wp:effectExtent l="0" t="0" r="9525" b="9525"/>
            <wp:wrapSquare wrapText="bothSides"/>
            <wp:docPr id="1" name="Рисунок 1" descr="Картинки по запросу &quot;Профсоюз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Профсоюз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1DB4">
        <w:rPr>
          <w:b/>
          <w:bCs/>
        </w:rPr>
        <w:t xml:space="preserve"> </w:t>
      </w:r>
    </w:p>
    <w:p w:rsidR="00501DB4" w:rsidRDefault="00501DB4" w:rsidP="00501DB4">
      <w:pPr>
        <w:jc w:val="center"/>
        <w:rPr>
          <w:b/>
          <w:bCs/>
        </w:rPr>
      </w:pPr>
    </w:p>
    <w:p w:rsidR="00501DB4" w:rsidRDefault="00501DB4" w:rsidP="00501DB4">
      <w:pPr>
        <w:jc w:val="center"/>
        <w:rPr>
          <w:b/>
          <w:bCs/>
        </w:rPr>
      </w:pPr>
    </w:p>
    <w:p w:rsidR="00501DB4" w:rsidRDefault="00501DB4" w:rsidP="00501DB4">
      <w:pPr>
        <w:jc w:val="center"/>
        <w:rPr>
          <w:b/>
          <w:bCs/>
        </w:rPr>
      </w:pPr>
    </w:p>
    <w:p w:rsidR="00501DB4" w:rsidRDefault="00501DB4" w:rsidP="00501DB4">
      <w:pPr>
        <w:jc w:val="center"/>
        <w:rPr>
          <w:b/>
          <w:bCs/>
        </w:rPr>
      </w:pPr>
    </w:p>
    <w:p w:rsidR="00501DB4" w:rsidRDefault="00501DB4" w:rsidP="00501DB4">
      <w:pPr>
        <w:jc w:val="center"/>
        <w:rPr>
          <w:b/>
          <w:bCs/>
        </w:rPr>
      </w:pPr>
    </w:p>
    <w:p w:rsidR="00501DB4" w:rsidRDefault="00501DB4" w:rsidP="00501DB4">
      <w:pPr>
        <w:jc w:val="center"/>
        <w:rPr>
          <w:b/>
          <w:bCs/>
        </w:rPr>
      </w:pPr>
    </w:p>
    <w:p w:rsidR="00501DB4" w:rsidRDefault="00501DB4" w:rsidP="00501DB4">
      <w:pPr>
        <w:jc w:val="center"/>
        <w:rPr>
          <w:b/>
          <w:bCs/>
        </w:rPr>
      </w:pPr>
    </w:p>
    <w:p w:rsidR="00501DB4" w:rsidRDefault="00501DB4" w:rsidP="00501DB4">
      <w:pPr>
        <w:jc w:val="center"/>
        <w:rPr>
          <w:b/>
          <w:bCs/>
        </w:rPr>
      </w:pPr>
    </w:p>
    <w:p w:rsidR="00501DB4" w:rsidRDefault="00501DB4" w:rsidP="00501DB4">
      <w:pPr>
        <w:jc w:val="both"/>
        <w:rPr>
          <w:b/>
          <w:bCs/>
        </w:rPr>
      </w:pPr>
    </w:p>
    <w:p w:rsidR="00501DB4" w:rsidRPr="00501DB4" w:rsidRDefault="00501DB4" w:rsidP="00501DB4">
      <w:pPr>
        <w:jc w:val="center"/>
        <w:rPr>
          <w:rFonts w:ascii="Times New Roman" w:hAnsi="Times New Roman" w:cs="Times New Roman"/>
          <w:sz w:val="32"/>
          <w:szCs w:val="32"/>
        </w:rPr>
      </w:pPr>
      <w:r w:rsidRPr="00501DB4">
        <w:rPr>
          <w:rFonts w:ascii="Times New Roman" w:hAnsi="Times New Roman" w:cs="Times New Roman"/>
          <w:b/>
          <w:bCs/>
          <w:sz w:val="32"/>
          <w:szCs w:val="32"/>
        </w:rPr>
        <w:t>Первичная профсоюзная организация</w:t>
      </w:r>
    </w:p>
    <w:p w:rsidR="00501DB4" w:rsidRPr="00501DB4" w:rsidRDefault="00501DB4" w:rsidP="00501DB4">
      <w:pPr>
        <w:jc w:val="center"/>
        <w:rPr>
          <w:rFonts w:ascii="Times New Roman" w:hAnsi="Times New Roman" w:cs="Times New Roman"/>
          <w:sz w:val="32"/>
          <w:szCs w:val="32"/>
        </w:rPr>
      </w:pPr>
      <w:r w:rsidRPr="00501DB4">
        <w:rPr>
          <w:rFonts w:ascii="Times New Roman" w:hAnsi="Times New Roman" w:cs="Times New Roman"/>
          <w:b/>
          <w:bCs/>
          <w:sz w:val="32"/>
          <w:szCs w:val="32"/>
        </w:rPr>
        <w:t>Государственного учреждения образования</w:t>
      </w:r>
    </w:p>
    <w:p w:rsidR="00501DB4" w:rsidRPr="00501DB4" w:rsidRDefault="00501DB4" w:rsidP="00501DB4">
      <w:pPr>
        <w:jc w:val="center"/>
        <w:rPr>
          <w:rFonts w:ascii="Times New Roman" w:hAnsi="Times New Roman" w:cs="Times New Roman"/>
          <w:sz w:val="32"/>
          <w:szCs w:val="32"/>
        </w:rPr>
      </w:pPr>
      <w:r w:rsidRPr="00501DB4">
        <w:rPr>
          <w:rFonts w:ascii="Times New Roman" w:hAnsi="Times New Roman" w:cs="Times New Roman"/>
          <w:b/>
          <w:bCs/>
          <w:sz w:val="32"/>
          <w:szCs w:val="32"/>
        </w:rPr>
        <w:t>"</w:t>
      </w:r>
      <w:proofErr w:type="spellStart"/>
      <w:r w:rsidRPr="00501DB4">
        <w:rPr>
          <w:rFonts w:ascii="Times New Roman" w:hAnsi="Times New Roman" w:cs="Times New Roman"/>
          <w:b/>
          <w:bCs/>
          <w:sz w:val="32"/>
          <w:szCs w:val="32"/>
        </w:rPr>
        <w:t>Липский</w:t>
      </w:r>
      <w:proofErr w:type="spellEnd"/>
      <w:r w:rsidRPr="00501DB4">
        <w:rPr>
          <w:rFonts w:ascii="Times New Roman" w:hAnsi="Times New Roman" w:cs="Times New Roman"/>
          <w:b/>
          <w:bCs/>
          <w:sz w:val="32"/>
          <w:szCs w:val="32"/>
        </w:rPr>
        <w:t xml:space="preserve"> учебно- педагогический комплекс детский сад – средняя школа"</w:t>
      </w:r>
    </w:p>
    <w:p w:rsidR="00501DB4" w:rsidRPr="00501DB4" w:rsidRDefault="00501DB4" w:rsidP="00501DB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01DB4">
        <w:rPr>
          <w:rFonts w:ascii="Times New Roman" w:hAnsi="Times New Roman" w:cs="Times New Roman"/>
          <w:b/>
          <w:bCs/>
          <w:sz w:val="32"/>
          <w:szCs w:val="32"/>
        </w:rPr>
        <w:t xml:space="preserve">Миссия организации - </w:t>
      </w:r>
      <w:r w:rsidRPr="00501DB4">
        <w:rPr>
          <w:rFonts w:ascii="Times New Roman" w:hAnsi="Times New Roman" w:cs="Times New Roman"/>
          <w:sz w:val="32"/>
          <w:szCs w:val="32"/>
        </w:rPr>
        <w:t xml:space="preserve">создание целостной социально ориентированной системы взаимоотношений членов профсоюза, основанной на защите их прав и социально экономических интересов, соблюдении </w:t>
      </w:r>
      <w:proofErr w:type="spellStart"/>
      <w:r w:rsidRPr="00501DB4">
        <w:rPr>
          <w:rFonts w:ascii="Times New Roman" w:hAnsi="Times New Roman" w:cs="Times New Roman"/>
          <w:sz w:val="32"/>
          <w:szCs w:val="32"/>
        </w:rPr>
        <w:t>внутрипрофсоюзной</w:t>
      </w:r>
      <w:proofErr w:type="spellEnd"/>
      <w:r w:rsidRPr="00501DB4">
        <w:rPr>
          <w:rFonts w:ascii="Times New Roman" w:hAnsi="Times New Roman" w:cs="Times New Roman"/>
          <w:sz w:val="32"/>
          <w:szCs w:val="32"/>
        </w:rPr>
        <w:t xml:space="preserve"> дисциплины.</w:t>
      </w:r>
    </w:p>
    <w:p w:rsidR="00501DB4" w:rsidRPr="00501DB4" w:rsidRDefault="00501DB4" w:rsidP="00501DB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01DB4">
        <w:rPr>
          <w:rFonts w:ascii="Times New Roman" w:hAnsi="Times New Roman" w:cs="Times New Roman"/>
          <w:b/>
          <w:bCs/>
          <w:sz w:val="32"/>
          <w:szCs w:val="32"/>
        </w:rPr>
        <w:t>Цель организации - з</w:t>
      </w:r>
      <w:r w:rsidRPr="00501DB4">
        <w:rPr>
          <w:rFonts w:ascii="Times New Roman" w:hAnsi="Times New Roman" w:cs="Times New Roman"/>
          <w:sz w:val="32"/>
          <w:szCs w:val="32"/>
        </w:rPr>
        <w:t>ащита профессиональных и экономических прав и интересов членов профсоюзной организации.</w:t>
      </w:r>
    </w:p>
    <w:p w:rsidR="00501DB4" w:rsidRPr="00501DB4" w:rsidRDefault="00501DB4" w:rsidP="00501DB4">
      <w:pPr>
        <w:jc w:val="both"/>
        <w:rPr>
          <w:rFonts w:ascii="Times New Roman" w:hAnsi="Times New Roman" w:cs="Times New Roman"/>
          <w:sz w:val="32"/>
          <w:szCs w:val="32"/>
        </w:rPr>
      </w:pPr>
      <w:r w:rsidRPr="00501DB4">
        <w:rPr>
          <w:rFonts w:ascii="Times New Roman" w:hAnsi="Times New Roman" w:cs="Times New Roman"/>
          <w:b/>
          <w:bCs/>
          <w:sz w:val="32"/>
          <w:szCs w:val="32"/>
        </w:rPr>
        <w:t>Деятельность профсоюзного комитета:</w:t>
      </w:r>
    </w:p>
    <w:p w:rsidR="00501DB4" w:rsidRPr="00501DB4" w:rsidRDefault="00501DB4" w:rsidP="00501DB4">
      <w:pPr>
        <w:jc w:val="both"/>
        <w:rPr>
          <w:rFonts w:ascii="Times New Roman" w:hAnsi="Times New Roman" w:cs="Times New Roman"/>
          <w:sz w:val="32"/>
          <w:szCs w:val="32"/>
        </w:rPr>
      </w:pPr>
      <w:r w:rsidRPr="00501DB4">
        <w:rPr>
          <w:rFonts w:ascii="Times New Roman" w:hAnsi="Times New Roman" w:cs="Times New Roman"/>
          <w:sz w:val="32"/>
          <w:szCs w:val="32"/>
        </w:rPr>
        <w:t>1. Планирует и организует работу организации.</w:t>
      </w:r>
    </w:p>
    <w:p w:rsidR="00501DB4" w:rsidRPr="00501DB4" w:rsidRDefault="00501DB4" w:rsidP="00501DB4">
      <w:pPr>
        <w:jc w:val="both"/>
        <w:rPr>
          <w:rFonts w:ascii="Times New Roman" w:hAnsi="Times New Roman" w:cs="Times New Roman"/>
          <w:sz w:val="32"/>
          <w:szCs w:val="32"/>
        </w:rPr>
      </w:pPr>
      <w:r w:rsidRPr="00501DB4">
        <w:rPr>
          <w:rFonts w:ascii="Times New Roman" w:hAnsi="Times New Roman" w:cs="Times New Roman"/>
          <w:sz w:val="32"/>
          <w:szCs w:val="32"/>
        </w:rPr>
        <w:t>2. Заключает с нанимателем коллективный трудовой договор и осуществляет контроль за его выполнением.</w:t>
      </w:r>
    </w:p>
    <w:p w:rsidR="00501DB4" w:rsidRPr="00501DB4" w:rsidRDefault="00501DB4" w:rsidP="00501DB4">
      <w:pPr>
        <w:jc w:val="both"/>
        <w:rPr>
          <w:rFonts w:ascii="Times New Roman" w:hAnsi="Times New Roman" w:cs="Times New Roman"/>
          <w:sz w:val="32"/>
          <w:szCs w:val="32"/>
        </w:rPr>
      </w:pPr>
      <w:r w:rsidRPr="00501DB4">
        <w:rPr>
          <w:rFonts w:ascii="Times New Roman" w:hAnsi="Times New Roman" w:cs="Times New Roman"/>
          <w:sz w:val="32"/>
          <w:szCs w:val="32"/>
        </w:rPr>
        <w:t>3. Осуществляет прием и учет членов профсоюза.</w:t>
      </w:r>
    </w:p>
    <w:p w:rsidR="00501DB4" w:rsidRPr="00501DB4" w:rsidRDefault="00501DB4" w:rsidP="00501DB4">
      <w:pPr>
        <w:jc w:val="both"/>
        <w:rPr>
          <w:rFonts w:ascii="Times New Roman" w:hAnsi="Times New Roman" w:cs="Times New Roman"/>
          <w:sz w:val="32"/>
          <w:szCs w:val="32"/>
        </w:rPr>
      </w:pPr>
      <w:r w:rsidRPr="00501DB4">
        <w:rPr>
          <w:rFonts w:ascii="Times New Roman" w:hAnsi="Times New Roman" w:cs="Times New Roman"/>
          <w:sz w:val="32"/>
          <w:szCs w:val="32"/>
        </w:rPr>
        <w:t>4. Информирует членов организации о своей деятельности и деятельности вышестоящих профсоюзных органов.</w:t>
      </w:r>
    </w:p>
    <w:p w:rsidR="0065539C" w:rsidRDefault="0065539C" w:rsidP="00501DB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01DB4" w:rsidRDefault="00501DB4" w:rsidP="00501DB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01DB4" w:rsidRDefault="00501DB4" w:rsidP="00501DB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01DB4" w:rsidRDefault="00501DB4" w:rsidP="00501DB4">
      <w:pPr>
        <w:shd w:val="clear" w:color="auto" w:fill="FFFFFF"/>
        <w:spacing w:after="300" w:line="600" w:lineRule="atLeast"/>
        <w:textAlignment w:val="baseline"/>
        <w:outlineLvl w:val="0"/>
        <w:rPr>
          <w:rFonts w:ascii="FranklinGothicDemiCmpC" w:eastAsia="Times New Roman" w:hAnsi="FranklinGothicDemiCmpC" w:cs="Times New Roman"/>
          <w:b/>
          <w:bCs/>
          <w:color w:val="000000"/>
          <w:kern w:val="36"/>
          <w:sz w:val="54"/>
          <w:szCs w:val="54"/>
          <w:lang w:eastAsia="ru-RU"/>
        </w:rPr>
      </w:pPr>
      <w:r>
        <w:rPr>
          <w:rFonts w:ascii="FranklinGothicDemiCmpC" w:eastAsia="Times New Roman" w:hAnsi="FranklinGothicDemiCmpC" w:cs="Times New Roman"/>
          <w:b/>
          <w:bCs/>
          <w:noProof/>
          <w:color w:val="000000"/>
          <w:kern w:val="36"/>
          <w:sz w:val="54"/>
          <w:szCs w:val="54"/>
          <w:lang w:eastAsia="ru-RU"/>
        </w:rPr>
        <w:lastRenderedPageBreak/>
        <w:drawing>
          <wp:inline distT="0" distB="0" distL="0" distR="0" wp14:anchorId="5F0765BE">
            <wp:extent cx="5937885" cy="2834640"/>
            <wp:effectExtent l="0" t="0" r="571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83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1DB4" w:rsidRPr="00501DB4" w:rsidRDefault="00501DB4" w:rsidP="007C2554">
      <w:pPr>
        <w:shd w:val="clear" w:color="auto" w:fill="FFFFFF"/>
        <w:spacing w:after="30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proofErr w:type="spellStart"/>
      <w:r w:rsidRPr="00501DB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Зберагчы</w:t>
      </w:r>
      <w:proofErr w:type="spellEnd"/>
      <w:r w:rsidRPr="00501DB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і </w:t>
      </w:r>
      <w:proofErr w:type="spellStart"/>
      <w:r w:rsidRPr="00501DB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прымножыць</w:t>
      </w:r>
      <w:proofErr w:type="spellEnd"/>
    </w:p>
    <w:p w:rsidR="00501DB4" w:rsidRPr="00501DB4" w:rsidRDefault="00501DB4" w:rsidP="007C2554">
      <w:pPr>
        <w:shd w:val="clear" w:color="auto" w:fill="FFFFFF"/>
        <w:spacing w:after="150" w:line="480" w:lineRule="atLeast"/>
        <w:jc w:val="righ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501DB4">
        <w:rPr>
          <w:rFonts w:ascii="FranklinGothicBookCondC" w:eastAsia="Times New Roman" w:hAnsi="FranklinGothicBookCondC" w:cs="Times New Roman"/>
          <w:noProof/>
          <w:color w:val="000000"/>
          <w:sz w:val="33"/>
          <w:szCs w:val="33"/>
          <w:lang w:eastAsia="ru-RU"/>
        </w:rPr>
        <w:drawing>
          <wp:inline distT="0" distB="0" distL="0" distR="0" wp14:anchorId="1B42D9F6" wp14:editId="368E15BB">
            <wp:extent cx="2552700" cy="1837945"/>
            <wp:effectExtent l="0" t="0" r="0" b="0"/>
            <wp:docPr id="3" name="Рисунок 3" descr="https://estu.1prof.by/kcfinder/upload/images/News/2020/October/CK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stu.1prof.by/kcfinder/upload/images/News/2020/October/CK/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440" cy="185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DB4" w:rsidRPr="00501DB4" w:rsidRDefault="00501DB4" w:rsidP="004C77F1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Адлік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гісторыі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прафсаюзнага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руху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Мінскай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вобласці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пачынаецца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першага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нелегальнага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настаўніцкага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з’езда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адбыўся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ліпеня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1906 года ў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сяле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Мікалаеўшчына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Мінскага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павета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Адным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ініцыятараў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арганізатараў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будучы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класік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беларускай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літаратуры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паэт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Якуб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Колас. Мы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бачым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сваю задачу ў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тым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зберагчы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дасягнутае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агульнымі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намаганнямі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прымножыць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тым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самым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умацаваць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аўтарытэт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прафсаюза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1DB4" w:rsidRPr="00501DB4" w:rsidRDefault="00501DB4" w:rsidP="004C77F1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Сёння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складзе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Мінскай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абласнай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арганізацыі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Беларускага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прафесійнага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саюза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работнікаў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адукацыі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навукі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1149 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пярвічак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Ахоп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прафсаюзным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членствам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складае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98</w:t>
      </w:r>
      <w:proofErr w:type="gram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  —</w:t>
      </w:r>
      <w:proofErr w:type="gram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і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проста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даніна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традыцыі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і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разуменне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грамадскай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значнасці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прафсаюза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найважнейшага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сацыяльнага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інстытута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грамадства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1DB4" w:rsidRPr="00501DB4" w:rsidRDefault="00501DB4" w:rsidP="004C77F1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арганізацыя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абараняе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сацыяльна-эканамічныя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інтарэсы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работнікаў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галіны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першую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чаргу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забеспячэнне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працоўнымі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месцамі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каля 20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гадоў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пачалася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актыўная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аптымізацыя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сеткі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ўстаноў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адукацыі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абкам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ініцыіраваў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стварэнне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падтрымкі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працаўнікоў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аказаліся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работы.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Галіновы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прафсаюз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пастаянна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ініцыіраваў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павышэнне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заработнай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платы,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удасканаленне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пенсіённага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заканадаўства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атэстацыю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педработнікаў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Абласны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камітэт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таксама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ўдзяляе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гэтым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пытанням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шмат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 —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апошнія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гадоў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накіраваны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33 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лісты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розныя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міністэрствы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1DB4" w:rsidRPr="00501DB4" w:rsidRDefault="00501DB4" w:rsidP="004C77F1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абкам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актыўна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ўдзельнічаў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абмеркаванні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нарматыўнага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дакумента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Міністэрства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адукацыі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аплаце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работнікаў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адукацыі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1 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студзеня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года. Так,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зроблены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прапановы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неабходнасці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ўстанаўлення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высокага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разраду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аплаце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метадыстаў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вучэбна-метадычных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кабінетаў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параўнанні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настаўнікамі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выхавальнікамі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праекце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вышэйназванага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дакумента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меркаваліся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аднолькавыя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разрады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прапановы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ўвайшлі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канчатковы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варыянт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пастановы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Міністэрства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адукацыі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Рэспублікі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Беларусь ад 3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чэрвеня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 года № 71 “Аб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аплаце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работнікаў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сферы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адукацыі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”.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Таксама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сувязі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ўмовамі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аплаты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абласны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камітэт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правёў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семінары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старшынь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рэгіянальных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камітэтаў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прафсаюза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камітэтаў</w:t>
      </w:r>
      <w:proofErr w:type="spellEnd"/>
      <w:proofErr w:type="gram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кiраўнiкоў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адукацыi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большасці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раёнаў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вобласці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1DB4" w:rsidRPr="00501DB4" w:rsidRDefault="00501DB4" w:rsidP="004C77F1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сайце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абласной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арганізацыі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дзейнічае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рубрыка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Пытанне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адказ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”, у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якой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размяшчаюцца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адказы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найбольш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пытанні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працоўнага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заканадаўства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атэстацыю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педагагічных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работнікаў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супрацоўнікі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пастаянна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выступаюць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лекцыямі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кіраўнікоў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спецыялістаў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адукацыі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Акадэміі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паслядыпломнай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адукацыі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Мінскім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абласным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інстытуце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развіцця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адукацыі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1DB4" w:rsidRPr="00501DB4" w:rsidRDefault="00501DB4" w:rsidP="004C77F1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мінулым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годзе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прынята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новае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абласное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пагадненне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паміж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галоўным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упраўленнем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адукацыі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Мінскага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абласнога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выканаўчага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камітэта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Мінскай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абласной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арганізацыяй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галіновага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прафсаюза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2019—2022 гады. У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удалося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захаваць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усе нормы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папярэдняга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пагаднення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паляпшаюць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сацыяльна-эканамічныя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гарантыі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работнікаў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галіны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параўнанні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працоўным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заканадаўствам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Гарантаваная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занятасць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пастаяннае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працоўнае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месца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адпачынак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56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працоўных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дзён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выкладчыкаў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настаўнікаў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1DB4" w:rsidRPr="00501DB4" w:rsidRDefault="00501DB4" w:rsidP="004C77F1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Абласная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арганізацыя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галіновага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прафсаюза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актыўна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выкарыстоўвае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свае правы на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грамадскі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кантроль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выкананнем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заканадаўства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ахове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ўключае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тым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ліку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расследаванні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няшчасных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выпадкаў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работнікамі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Асаблівымі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нормамі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пагаднення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з’яўляюцца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магчымасць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аказваць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матэрыяльную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дапамогу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памеры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200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базавых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велічынь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сем’ям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загінуўшых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вытворчасці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работнікам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акрамя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ўстаноўленага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заканадаўствам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пакрыцця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шкоды.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Таксама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штогод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Сусветнага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аховы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аказваем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дапамогу</w:t>
      </w:r>
      <w:proofErr w:type="spellEnd"/>
      <w:proofErr w:type="gram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работнікам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якімі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адбыліся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няшчасныя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выпадкі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вытворчасці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цяжкім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канцом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1DB4" w:rsidRPr="00501DB4" w:rsidRDefault="00501DB4" w:rsidP="004C77F1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Прыярытэтам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застаецца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грамадскі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кантроль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выкананнем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працоўнага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заканадаўства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час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існавання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прававой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інспекцыі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папярэджана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звальненне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чым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і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адноўлена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чым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работнікаў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галіны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Павышаная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ўвага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ўдзяляецца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кантрактнай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найму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работнікаў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1DB4" w:rsidRPr="00501DB4" w:rsidRDefault="00501DB4" w:rsidP="004C77F1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Работа з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моладдзю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адно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самых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складаных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значных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пытанняў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прафсаюзным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руху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2016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годзе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створаны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Маладзёжны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савет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склад</w:t>
      </w:r>
      <w:proofErr w:type="gram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ўвайшлі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адным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прадстаўніку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кожнага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раёна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Мінскай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вобласці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праводзіцца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“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Педагагічны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старт”, з 2011 года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праходзіць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 “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Прафсаюз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меж”, у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якім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прымаюць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удзел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лепшыя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маладыя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Расіі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Сумесна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галоўным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упраўленнем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Мінскага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аблвыканкама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жнівеньскай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педагагічнай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канферэнцыі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праводзіцца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ганараванне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маладых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спецыялістаў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абласное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пагадненне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ўключана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заключэнне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кантрактаў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работнікамі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станоўча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зарэкамендавалі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сябе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рабоце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размеркаванні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5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гадоў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ўмове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ўстанаўлення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надбаўкі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акладу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памеры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50% і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прадастаўленні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дадатковага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адпачынку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каляндарных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дзён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1DB4" w:rsidRPr="00501DB4" w:rsidRDefault="00501DB4" w:rsidP="004C77F1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Ветэраны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яшчэ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адзін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напрамак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дзейнасці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нашай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арганізацыі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Памятаць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людзей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самаадданую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працу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заслугоўваюць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глыбокай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павагі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ўдзячнасці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неабходна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нагоды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юбілейных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дат. Важна,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былыя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калегі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абдзелены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добрым словам,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ўвагай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гэтай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мэтай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створаны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абласны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рэгіянальныя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саветы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ветэранаў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Наша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арганізацыя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садзейнічае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таму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лепшыя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традыцыі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актуальны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вопыт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напрацаваны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старэйшым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пакаленнем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перадаць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маладым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штогод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праводзім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сумесныя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пасяджэнні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Маладзёжнага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савета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Савета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ветэранаў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1DB4" w:rsidRPr="00501DB4" w:rsidRDefault="00501DB4" w:rsidP="004C77F1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з’яўляемся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актыўнымі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ўдзельнікамі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сузаснавальнікамі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Настаўнік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года”, “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Малады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дырэктар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Майстар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Мінскай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вобласці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”. Так, норма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абласнога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пагаднення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дазваляе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правесці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выплату ў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памеры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базавых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велічынь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пераможцам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Рэспубліканскага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конкурсу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прафесійнага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майстэрства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настаўнікаў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пазней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аднаго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пасля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падвядзення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вынікаў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конкурсу.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Прафсаюзныя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лідары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члены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нашага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галіновага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прафсаюза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станавіліся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пераможцамі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рэспубліканскіх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імёны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і “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Беларускі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майстар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”.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Двойчы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ўзнагароджаны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грамадскія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інспектары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ахове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дыпломамі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Федэрацыі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прафсаюзаў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прысваеннем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звання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Лепшы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грамадскі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інспектар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ахове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ФПБ”.</w:t>
      </w:r>
    </w:p>
    <w:p w:rsidR="00501DB4" w:rsidRPr="00501DB4" w:rsidRDefault="00501DB4" w:rsidP="004C77F1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Прафсаюзы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павінны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імкнуцца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папулярызацыі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прафсаюзнага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руху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каштоўнасцей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павелічэння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колькасці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прафсаюза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таксама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трансфармацыі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самой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ролі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прафсаюзаў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разумення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таго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імкліва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мяняецца</w:t>
      </w:r>
      <w:proofErr w:type="spellEnd"/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1DB4" w:rsidRDefault="00501DB4" w:rsidP="004C77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01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Мікалай</w:t>
      </w:r>
      <w:proofErr w:type="spellEnd"/>
      <w:r w:rsidRPr="00501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БАШКО,</w:t>
      </w:r>
      <w:r w:rsidRPr="0050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01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старшыня</w:t>
      </w:r>
      <w:proofErr w:type="spellEnd"/>
      <w:r w:rsidRPr="00501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Мінскай</w:t>
      </w:r>
      <w:proofErr w:type="spellEnd"/>
      <w:r w:rsidRPr="00501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абласной</w:t>
      </w:r>
      <w:proofErr w:type="spellEnd"/>
      <w:r w:rsidRPr="00501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арганізацыі</w:t>
      </w:r>
      <w:proofErr w:type="spellEnd"/>
      <w:r w:rsidRPr="00501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Беларускага</w:t>
      </w:r>
      <w:proofErr w:type="spellEnd"/>
      <w:r w:rsidRPr="00501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прафесійнага</w:t>
      </w:r>
      <w:proofErr w:type="spellEnd"/>
      <w:r w:rsidRPr="00501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саюза</w:t>
      </w:r>
      <w:proofErr w:type="spellEnd"/>
      <w:r w:rsidRPr="00501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работнікаў</w:t>
      </w:r>
      <w:proofErr w:type="spellEnd"/>
      <w:r w:rsidRPr="00501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1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адукацыі</w:t>
      </w:r>
      <w:proofErr w:type="spellEnd"/>
      <w:r w:rsidRPr="00501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501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навукі</w:t>
      </w:r>
      <w:proofErr w:type="spellEnd"/>
      <w:r w:rsidRPr="00501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C77F1" w:rsidRDefault="004C77F1" w:rsidP="004C77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C77F1" w:rsidRDefault="004C77F1" w:rsidP="004C77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C77F1" w:rsidRDefault="004C77F1" w:rsidP="004C77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C77F1" w:rsidRDefault="004C77F1" w:rsidP="004C77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C77F1" w:rsidRDefault="004C77F1" w:rsidP="004C77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C77F1" w:rsidRDefault="004C77F1" w:rsidP="004C77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C77F1" w:rsidRDefault="004C77F1" w:rsidP="004C77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C77F1" w:rsidRPr="00501DB4" w:rsidRDefault="004C77F1" w:rsidP="004C77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DB4" w:rsidRDefault="004C77F1" w:rsidP="004C7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77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234771"/>
            <wp:effectExtent l="0" t="0" r="3175" b="4445"/>
            <wp:docPr id="5" name="Рисунок 5" descr="C:\Users\Татьяна\Pictures\изображение_viber_2021-09-27_13-51-53-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Pictures\изображение_viber_2021-09-27_13-51-53-5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3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7F1" w:rsidRDefault="004C77F1" w:rsidP="004C7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77F1" w:rsidRDefault="004C77F1" w:rsidP="004C7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77F1" w:rsidRDefault="004C77F1" w:rsidP="004C7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77F1" w:rsidRDefault="004C77F1" w:rsidP="004C7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77F1" w:rsidRDefault="004C77F1" w:rsidP="004C7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77F1" w:rsidRDefault="004C77F1" w:rsidP="004C77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7F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67125" cy="3762375"/>
            <wp:effectExtent l="0" t="0" r="9525" b="9525"/>
            <wp:docPr id="6" name="Рисунок 6" descr="C:\Users\Татьяна\Pictures\изображение_viber_2021-10-04_14-22-57-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Pictures\изображение_viber_2021-10-04_14-22-57-7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997" w:rsidRPr="00C46997" w:rsidRDefault="00C46997" w:rsidP="00C46997">
      <w:pPr>
        <w:pStyle w:val="a3"/>
        <w:ind w:firstLine="708"/>
        <w:jc w:val="both"/>
        <w:rPr>
          <w:color w:val="2A2B2C"/>
          <w:sz w:val="32"/>
          <w:szCs w:val="32"/>
        </w:rPr>
      </w:pPr>
      <w:r w:rsidRPr="00C46997">
        <w:rPr>
          <w:rStyle w:val="a4"/>
          <w:color w:val="2A2B2C"/>
          <w:sz w:val="32"/>
          <w:szCs w:val="32"/>
        </w:rPr>
        <w:t xml:space="preserve">В Беларуси открыто более 850 пунктов вакцинации против </w:t>
      </w:r>
      <w:proofErr w:type="spellStart"/>
      <w:r w:rsidRPr="00C46997">
        <w:rPr>
          <w:rStyle w:val="a4"/>
          <w:color w:val="2A2B2C"/>
          <w:sz w:val="32"/>
          <w:szCs w:val="32"/>
        </w:rPr>
        <w:t>коронавируса</w:t>
      </w:r>
      <w:proofErr w:type="spellEnd"/>
      <w:r w:rsidRPr="00C46997">
        <w:rPr>
          <w:rStyle w:val="a4"/>
          <w:color w:val="2A2B2C"/>
          <w:sz w:val="32"/>
          <w:szCs w:val="32"/>
        </w:rPr>
        <w:t>.</w:t>
      </w:r>
    </w:p>
    <w:p w:rsidR="00C46997" w:rsidRPr="00C46997" w:rsidRDefault="00C46997" w:rsidP="00C46997">
      <w:pPr>
        <w:pStyle w:val="a3"/>
        <w:ind w:firstLine="708"/>
        <w:jc w:val="both"/>
        <w:rPr>
          <w:color w:val="2A2B2C"/>
          <w:sz w:val="32"/>
          <w:szCs w:val="32"/>
        </w:rPr>
      </w:pPr>
      <w:bookmarkStart w:id="0" w:name="_GoBack"/>
      <w:bookmarkEnd w:id="0"/>
      <w:r w:rsidRPr="00C46997">
        <w:rPr>
          <w:rStyle w:val="a4"/>
          <w:color w:val="2A2B2C"/>
          <w:sz w:val="32"/>
          <w:szCs w:val="32"/>
        </w:rPr>
        <w:t>Гражданам потребуется только паспорт, чтобы привиться от COVID-19. Вакцины есть на выбор – российского и китайского производства.</w:t>
      </w:r>
    </w:p>
    <w:p w:rsidR="00C46997" w:rsidRDefault="00C46997" w:rsidP="00C46997">
      <w:pPr>
        <w:pStyle w:val="a3"/>
        <w:ind w:firstLine="708"/>
        <w:jc w:val="both"/>
        <w:rPr>
          <w:color w:val="2A2B2C"/>
          <w:sz w:val="32"/>
          <w:szCs w:val="32"/>
        </w:rPr>
      </w:pPr>
      <w:r w:rsidRPr="00C46997">
        <w:rPr>
          <w:color w:val="2A2B2C"/>
          <w:sz w:val="32"/>
          <w:szCs w:val="32"/>
        </w:rPr>
        <w:t xml:space="preserve">Белорусские профсоюзы отслеживают ситуацию с COVID-19 и выступили с инициативой дополнительно поддержать тех работников предприятий, которые вакцинируются против </w:t>
      </w:r>
      <w:proofErr w:type="spellStart"/>
      <w:r w:rsidRPr="00C46997">
        <w:rPr>
          <w:color w:val="2A2B2C"/>
          <w:sz w:val="32"/>
          <w:szCs w:val="32"/>
        </w:rPr>
        <w:t>коронавируса</w:t>
      </w:r>
      <w:proofErr w:type="spellEnd"/>
      <w:r w:rsidRPr="00C46997">
        <w:rPr>
          <w:color w:val="2A2B2C"/>
          <w:sz w:val="32"/>
          <w:szCs w:val="32"/>
        </w:rPr>
        <w:t>.</w:t>
      </w:r>
    </w:p>
    <w:p w:rsidR="00C46997" w:rsidRPr="00C46997" w:rsidRDefault="00C46997" w:rsidP="00C46997">
      <w:pPr>
        <w:pStyle w:val="a3"/>
        <w:jc w:val="both"/>
        <w:rPr>
          <w:color w:val="2A2B2C"/>
          <w:sz w:val="32"/>
          <w:szCs w:val="32"/>
        </w:rPr>
      </w:pPr>
    </w:p>
    <w:p w:rsidR="004C77F1" w:rsidRPr="007C2554" w:rsidRDefault="004C77F1" w:rsidP="004C77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C77F1" w:rsidRPr="007C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DemiCmpC">
    <w:altName w:val="Times New Roman"/>
    <w:panose1 w:val="00000000000000000000"/>
    <w:charset w:val="00"/>
    <w:family w:val="roman"/>
    <w:notTrueType/>
    <w:pitch w:val="default"/>
  </w:font>
  <w:font w:name="FranklinGothicBookCond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63"/>
    <w:rsid w:val="002C3963"/>
    <w:rsid w:val="004C77F1"/>
    <w:rsid w:val="00501DB4"/>
    <w:rsid w:val="0065539C"/>
    <w:rsid w:val="007C2554"/>
    <w:rsid w:val="00C4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4990"/>
  <w15:chartTrackingRefBased/>
  <w15:docId w15:val="{57C9EC46-7087-4835-A122-BA79AC1D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997"/>
    <w:rPr>
      <w:b/>
      <w:bCs/>
    </w:rPr>
  </w:style>
  <w:style w:type="character" w:styleId="a5">
    <w:name w:val="Hyperlink"/>
    <w:basedOn w:val="a0"/>
    <w:uiPriority w:val="99"/>
    <w:semiHidden/>
    <w:unhideWhenUsed/>
    <w:rsid w:val="00C46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5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5" Target="media/image2.jpeg" Type="http://schemas.openxmlformats.org/officeDocument/2006/relationships/image"/><Relationship Id="rId10" Target="theme/theme1.xml" Type="http://schemas.openxmlformats.org/officeDocument/2006/relationships/theme"/><Relationship Id="rId4" Target="media/image1.jpeg" Type="http://schemas.openxmlformats.org/officeDocument/2006/relationships/image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2021-10-21T18:04:00Z</dcterms:created>
  <dcterms:modified xsi:type="dcterms:W3CDTF">2021-10-21T18:46:00Z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223858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